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5c7e60f890f4284"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8891</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O.Š. SKAKAVAC</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367.686,90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374.478,16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420.921,23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378.480,60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53.234,33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4.002,44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1.831,04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637,46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1.831,04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637,46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34,8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55.065,37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4.639,90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8,4</w:t>
            </w:r>
          </w:p>
        </w:tc>
      </w:tr>
    </w:tbl>
    <w:p>
      <w:pPr>
        <w:spacing w:before="0" w:after="0"/>
      </w:pPr>
    </w:p>
    <w:p>
      <w:r>
        <w:t xml:space="preserve">Osnovna škola Skakavac u razdoblju od 1. siječnja do 30.lipnja 2026.godine poslovala je u skladu sa važećim zakonskim propisima, odlukama osnivača te pravilima proračunskog računovodstva i financijskog izvještavanja. sve poslove aktivnosti provedene su transparentno, uz poštivanje načela namjenskog trošenja proračunskih sredstava i odgovornog planiranja rashoda. Iskazani manjak prihoda i primitaka promatran u privremenom obračunu predstavlja privremeni nesrazmjer između ostvarenih prihoda i nastalih rashoda, koji proizlazi ponajprije iz sezonske dinamike naplate prihoda i vremenskog rasporeda izvršavanja rashoda. Takav manjak kod proračunskih korisnika nije neuobičajen. S ekonomskog aspekta, poslovanje škole u navedenom razdoblju obilježeno je povećanjem ulaznih troškova (energenti, materijalni troškovi i usluge održavanja) , kao i rastom troškova rada, što je u skladu s općim gospodarskim kretanjima i inflatornim pritiscima u javnom sektoru. Unatoč tome, škola je održala financijsku likvidnost, bez da bi ugrozila planirani proračun. Škola je nastavila provoditit mjere racionalizacije troškova, aktivno planiranje prihodovne strane proračuna. Na taj način Osnovna škola Skakavac osigurava održivost poslovanja i usklađenost s proračunskim načelima uravnoteženosti, ekonomičnosti i učinkovitosti te zadržava stabilnu osnovu za financijsko poslovanje u narednim razdobljima.</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367.686,90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374.478,16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101,8</w:t>
            </w:r>
          </w:p>
        </w:tc>
      </w:tr>
    </w:tbl>
    <w:p>
      <w:pPr>
        <w:spacing w:before="0" w:after="0"/>
      </w:pPr>
    </w:p>
    <w:p>
      <w:r>
        <w:t xml:space="preserve">Vidljivo je povećanje prihoda , uglavnom zbog većih prihoda vezanih za povećanjeplaća u osnovnim i srednjim školama u odnosu na prošlo izvještajno razdoblje.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320.218,84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342.828,42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107,1</w:t>
            </w:r>
          </w:p>
        </w:tc>
      </w:tr>
    </w:tbl>
    <w:p>
      <w:pPr>
        <w:spacing w:before="0" w:after="0"/>
      </w:pPr>
    </w:p>
    <w:p>
      <w:r>
        <w:t xml:space="preserve">Indeks uvećanja u odnosu na prošlu godinu je 107,1. Ovaj iznos uvećanja odnosi se na plaće i ostala materijalna prava zaposlenih u školi,na iznose koje je škola dobila za prehranu učenika.</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i od HZZO-a na temelju ugovornih obveza (šifre 671+673)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47.465,72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31.649,74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66,7</w:t>
            </w:r>
          </w:p>
        </w:tc>
      </w:tr>
    </w:tbl>
    <w:p>
      <w:pPr>
        <w:spacing w:before="0" w:after="0"/>
      </w:pPr>
    </w:p>
    <w:p>
      <w:r>
        <w:t xml:space="preserve">ŠIFRA 67 - prihodi iz nadležnog proračuna za financiranje rashoda poslovanja, od osnivača grada Karlovca-čine prihodi za materijalne rashode, za prvenciju, održavanje objekta, ostale aktivnosti.Prihodi iz nadležnog proračuna za financiranje rashoda za nabavu nefinancijske opreme, za postrojenje i opremu, opremanje škole.</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420.921,23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378.480,60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89,9</w:t>
            </w:r>
          </w:p>
        </w:tc>
      </w:tr>
    </w:tbl>
    <w:p>
      <w:pPr>
        <w:spacing w:before="0" w:after="0"/>
      </w:pPr>
    </w:p>
    <w:p>
      <w:r>
        <w:t xml:space="preserve">Vidljivo je smanjenje rashoda, zbog manjeg proračuna koji nam je dodijeljen. Zato je vidljivo racionalnije trošenje dobivenih sredstava.</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373.452,19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339.125,73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90,8</w:t>
            </w:r>
          </w:p>
        </w:tc>
      </w:tr>
    </w:tbl>
    <w:p>
      <w:pPr>
        <w:spacing w:before="0" w:after="0"/>
      </w:pPr>
    </w:p>
    <w:p>
      <w:r>
        <w:t xml:space="preserve">Rashodi za zaposlene financirani su iz MZOM-a, plaće za pomoćnike, a obuhvaćaju plaće za redovan rad, prekovremeni rad, plaće za posebne uvijete rada, ostale rashode za zaposlene, doprinose na plaću, kao i za ostale rashode koji se tiču zaposelnih, vidljivo je smanjenje rashoda za zaposlene, zbog smanjenja broja pomoćnika u nastavi, kao i zbog manje prekovremenih sati.</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47.295,43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39.354,87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83,2</w:t>
            </w:r>
          </w:p>
        </w:tc>
      </w:tr>
    </w:tbl>
    <w:p>
      <w:pPr>
        <w:spacing w:before="0" w:after="0"/>
      </w:pPr>
    </w:p>
    <w:p>
      <w:r>
        <w:t xml:space="preserve">Rashodi u 2026. godini financirani su prema izvorima financiranja ( mjestu troška i pozicijama) smanjenje je kao što sam i prije navela zbog smanjenja financijskog plana i racionalnijeg trošenja istoga.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1.831,04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637,46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34,8</w:t>
            </w:r>
          </w:p>
        </w:tc>
      </w:tr>
    </w:tbl>
    <w:p>
      <w:pPr>
        <w:spacing w:before="0" w:after="0"/>
      </w:pPr>
    </w:p>
    <w:p>
      <w:r>
        <w:t xml:space="preserve">Prikazani su rashodi škole za nabavku opreme za informatičku učionicu.</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1.831,04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637,46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34,8</w:t>
            </w:r>
          </w:p>
        </w:tc>
      </w:tr>
    </w:tbl>
    <w:p>
      <w:pPr>
        <w:spacing w:before="0" w:after="0"/>
      </w:pPr>
    </w:p>
    <w:p>
      <w:r>
        <w:t xml:space="preserve">Prikazani rashodi za opremu.</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 kraju izvještajnog razdoblja sve obveze su podmirene, nije bilo nepodmirenih obveza.</w:t>
      </w:r>
    </w:p>
    <w:p/>
    <w:p>
      <w:pPr>
        <w:jc w:val="center"/>
        <w:pStyle w:val="Normal"/>
        <w:spacing w:line="240" w:lineRule="auto"/>
        <w:keepNext/>
      </w:pPr>
      <w:r>
        <w:rPr>
          <w:sz w:val="28"/>
          <w:rFonts w:ascii="Times New Roman" w:hAnsi="Times New Roman"/>
        </w:rPr>
        <w:t xml:space="preserve">Bilješka 11.</w:t>
      </w:r>
    </w:p>
    <w:p>
      <w:pPr>
        <w:jc w:val="both"/>
        <w:pStyle w:val="Normal"/>
        <w:spacing w:line="240" w:lineRule="auto"/>
      </w:pPr>
      <w:r>
        <w:rPr>
          <w:b/>
          <w:sz w:val="24"/>
          <w:rFonts w:ascii="Times New Roman" w:hAnsi="Times New Roman"/>
        </w:rPr>
        <w:t xml:space="preserve">EU izvještaj</w:t>
      </w:r>
    </w:p>
    <w:p>
      <w:r>
        <w:t xml:space="preserve">Prijedlogom Pravilnika propisan je kao novi financijski izvještaj ,,Analitički Izvještaj o EU sredstvima'' koji će biti sastavni dio Pravilnika o financijskom izvještavanju. </w:t>
      </w:r>
    </w:p>
    <w:p>
      <w:r>
        <w:t xml:space="preserve">Osnovna škola Skakavac pod Nacionalnim sufinanciranjem ima iskazan dio sredstava za plaće pomoćnika u nastavi , pod šifrom 561 također su iskazane plaće za pomoćnike u nastavi.</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293fca1693814829" /></Relationships>
</file>